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746371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350B8" w:rsidRPr="001350B8">
        <w:rPr>
          <w:bCs/>
          <w:noProof w:val="0"/>
          <w:sz w:val="24"/>
          <w:szCs w:val="24"/>
        </w:rPr>
        <w:t>1704285</w:t>
      </w:r>
    </w:p>
    <w:p w14:paraId="231362B2" w14:textId="77777777"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A2A214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027A1">
        <w:rPr>
          <w:rFonts w:cs="Arial"/>
          <w:b/>
          <w:bCs/>
          <w:sz w:val="24"/>
          <w:lang w:eastAsia="ja-JP"/>
        </w:rPr>
        <w:t>8.15</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45C2FA3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27A1">
        <w:rPr>
          <w:rFonts w:ascii="Arial" w:hAnsi="Arial" w:cs="Arial"/>
          <w:b/>
          <w:bCs/>
          <w:sz w:val="24"/>
        </w:rPr>
        <w:t>NCSG applicability to non-CA case</w:t>
      </w:r>
    </w:p>
    <w:p w14:paraId="3AC3A0B1" w14:textId="5D052EC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350B8" w:rsidRPr="001350B8">
        <w:rPr>
          <w:rFonts w:ascii="Arial" w:hAnsi="Arial" w:cs="Arial"/>
          <w:b/>
          <w:bCs/>
          <w:sz w:val="24"/>
        </w:rPr>
        <w:t>LTE_meas_gap_enh-Core</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350B8">
        <w:rPr>
          <w:rFonts w:ascii="Arial" w:hAnsi="Arial" w:cs="Arial"/>
          <w:b/>
          <w:bCs/>
          <w:sz w:val="24"/>
        </w:rPr>
        <w:t>14</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0D656DF" w:rsidR="00CD4C7B" w:rsidRPr="006E13D1" w:rsidRDefault="000027A1" w:rsidP="00CD4C7B">
      <w:r>
        <w:t>We have introduced NCSG in release 14 i.e. short gaps which are used when UE can measure carriers with SCells with just interruption gaps thus enabling NW more scheduling freedom. During Spokane RAN2#97bis RAN2 sent LS R2-1703948 to RAN4 asking whether NCSG is applicable for non-CA cases. In this paper, we discuss potential solution to solve this</w:t>
      </w:r>
      <w:r w:rsidR="0056573F">
        <w:t>.</w:t>
      </w:r>
    </w:p>
    <w:p w14:paraId="127ACA6D" w14:textId="4280AA1B" w:rsidR="00CD4C7B" w:rsidRDefault="00CD4C7B" w:rsidP="00CD4C7B">
      <w:pPr>
        <w:pStyle w:val="Heading1"/>
      </w:pPr>
      <w:r w:rsidRPr="006E13D1">
        <w:t>2</w:t>
      </w:r>
      <w:r w:rsidRPr="006E13D1">
        <w:tab/>
      </w:r>
      <w:r w:rsidR="000027A1">
        <w:t>NCSG for non-CA</w:t>
      </w:r>
    </w:p>
    <w:p w14:paraId="2CBE50B3" w14:textId="77777777" w:rsidR="00E56904" w:rsidRDefault="000027A1" w:rsidP="000027A1">
      <w:r>
        <w:t xml:space="preserve">So currently UE supporting CA and indicating support for NCSG is </w:t>
      </w:r>
      <w:r w:rsidR="009778F2">
        <w:t>a indication to network that it would be possible to configure NCSG for the UE in case</w:t>
      </w:r>
      <w:r w:rsidR="00E56904">
        <w:t xml:space="preserve"> following conditions are fulfilled:</w:t>
      </w:r>
    </w:p>
    <w:p w14:paraId="491A6E50" w14:textId="18A7B1C3" w:rsidR="00AF7E25" w:rsidRDefault="00542542" w:rsidP="00AF7E25">
      <w:pPr>
        <w:pStyle w:val="ListParagraph"/>
        <w:numPr>
          <w:ilvl w:val="0"/>
          <w:numId w:val="6"/>
        </w:numPr>
      </w:pPr>
      <w:r>
        <w:t xml:space="preserve">There </w:t>
      </w:r>
      <w:r w:rsidR="009436E9">
        <w:t>are</w:t>
      </w:r>
      <w:r>
        <w:t xml:space="preserve"> no</w:t>
      </w:r>
      <w:r w:rsidR="00AF7E25">
        <w:t xml:space="preserve"> measurement object</w:t>
      </w:r>
      <w:r w:rsidR="009436E9">
        <w:t>(s)</w:t>
      </w:r>
      <w:r w:rsidR="00AF7E25">
        <w:t xml:space="preserve"> </w:t>
      </w:r>
      <w:r w:rsidR="009436E9">
        <w:t xml:space="preserve">not being </w:t>
      </w:r>
      <w:r w:rsidR="00AF7E25">
        <w:t>part of supported band combination</w:t>
      </w:r>
    </w:p>
    <w:p w14:paraId="51802C73" w14:textId="745B411B" w:rsidR="00E56904" w:rsidRDefault="00E56904" w:rsidP="00AF7E25">
      <w:pPr>
        <w:pStyle w:val="ListParagraph"/>
        <w:numPr>
          <w:ilvl w:val="0"/>
          <w:numId w:val="6"/>
        </w:numPr>
      </w:pPr>
      <w:r>
        <w:t xml:space="preserve">There is deactivated SCell configured for each inter-frequency measurement </w:t>
      </w:r>
      <w:r w:rsidR="00AF7E25">
        <w:t xml:space="preserve">object </w:t>
      </w:r>
      <w:r>
        <w:rPr>
          <w:i/>
        </w:rPr>
        <w:t xml:space="preserve">measCycleSCell </w:t>
      </w:r>
      <w:r>
        <w:t>less than 640ms</w:t>
      </w:r>
    </w:p>
    <w:p w14:paraId="01145FCC" w14:textId="76478294" w:rsidR="000027A1" w:rsidRDefault="009778F2" w:rsidP="000027A1">
      <w:r>
        <w:rPr>
          <w:b/>
        </w:rPr>
        <w:t>Observation</w:t>
      </w:r>
      <w:r w:rsidR="009436E9">
        <w:rPr>
          <w:b/>
        </w:rPr>
        <w:t xml:space="preserve"> 1</w:t>
      </w:r>
      <w:r>
        <w:rPr>
          <w:b/>
        </w:rPr>
        <w:t xml:space="preserve">: </w:t>
      </w:r>
      <w:r>
        <w:t xml:space="preserve">NW can configure UEs with NCSG for UE supporting CA </w:t>
      </w:r>
      <w:r w:rsidR="00AF7E25">
        <w:t>in case above two conditions are fulfilled (and UE supports the feature)</w:t>
      </w:r>
    </w:p>
    <w:p w14:paraId="096D1B17" w14:textId="3350C007" w:rsidR="009778F2" w:rsidRDefault="009778F2" w:rsidP="000027A1">
      <w:r>
        <w:t xml:space="preserve">Now it would seem logical that UE would also support NCSG for the above case if there are no SCells configured for a carrier which are part of </w:t>
      </w:r>
      <w:r w:rsidR="00AF7E25">
        <w:t>UE supported band combinations</w:t>
      </w:r>
    </w:p>
    <w:p w14:paraId="00F708CF" w14:textId="55A6F3C6" w:rsidR="009778F2" w:rsidRDefault="009778F2" w:rsidP="000027A1">
      <w:r>
        <w:rPr>
          <w:b/>
        </w:rPr>
        <w:t>Observation</w:t>
      </w:r>
      <w:r w:rsidR="009436E9">
        <w:rPr>
          <w:b/>
        </w:rPr>
        <w:t xml:space="preserve"> 2</w:t>
      </w:r>
      <w:r>
        <w:rPr>
          <w:b/>
        </w:rPr>
        <w:t xml:space="preserve">: </w:t>
      </w:r>
      <w:r>
        <w:t xml:space="preserve">NW can configure UEs with NCSG for UE supporting CA and indicating support for NCSG in case </w:t>
      </w:r>
      <w:r w:rsidR="00AF7E25">
        <w:t xml:space="preserve">first condition from above </w:t>
      </w:r>
      <w:r w:rsidR="009436E9">
        <w:t>is</w:t>
      </w:r>
      <w:r w:rsidR="00AF7E25">
        <w:t xml:space="preserve"> fulfilled.</w:t>
      </w:r>
    </w:p>
    <w:p w14:paraId="3E8442B8" w14:textId="6A009C47" w:rsidR="009778F2" w:rsidRDefault="009436E9" w:rsidP="000027A1">
      <w:r>
        <w:t xml:space="preserve">Additionally if UE is configured with measurement object for which it does not require measurement gaps it would be seem feasible to configure NCSG for the UE. </w:t>
      </w:r>
    </w:p>
    <w:p w14:paraId="5DD2B7F3" w14:textId="6B03C869" w:rsidR="009436E9" w:rsidRDefault="009436E9" w:rsidP="000027A1">
      <w:r>
        <w:rPr>
          <w:b/>
        </w:rPr>
        <w:t>Observation 3:</w:t>
      </w:r>
      <w:r>
        <w:t xml:space="preserve"> It should be possible to configure inter-frequency measurements for UE for which UE does not require measurement gaps simultaneously </w:t>
      </w:r>
      <w:r w:rsidR="00C02760">
        <w:t>with</w:t>
      </w:r>
      <w:r>
        <w:t xml:space="preserve"> conditions for observation 1 or observation 2.</w:t>
      </w:r>
    </w:p>
    <w:p w14:paraId="34784834" w14:textId="71EEF5AA" w:rsidR="009436E9" w:rsidRDefault="00C02760" w:rsidP="000027A1">
      <w:pPr>
        <w:rPr>
          <w:lang w:val="en-US"/>
        </w:rPr>
      </w:pPr>
      <w:r w:rsidRPr="00C02760">
        <w:rPr>
          <w:lang w:val="en-US"/>
        </w:rPr>
        <w:t>Based on above discussion it seems feasible to support NCSG for non-CA as long as inter-frequency carriers are part of UE supported band combinations</w:t>
      </w:r>
      <w:r>
        <w:rPr>
          <w:lang w:val="en-US"/>
        </w:rPr>
        <w:t>.</w:t>
      </w:r>
    </w:p>
    <w:p w14:paraId="775379AF" w14:textId="4F14346D" w:rsidR="000A2CD0" w:rsidRDefault="000A2CD0" w:rsidP="000027A1">
      <w:pPr>
        <w:rPr>
          <w:lang w:val="en-US"/>
        </w:rPr>
      </w:pPr>
      <w:r>
        <w:rPr>
          <w:lang w:val="en-US"/>
        </w:rPr>
        <w:t>In RAN2 36.336 NCSG support is written like this:</w:t>
      </w: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13"/>
        <w:gridCol w:w="917"/>
      </w:tblGrid>
      <w:tr w:rsidR="000A2CD0" w14:paraId="6DA07742" w14:textId="77777777" w:rsidTr="000A2CD0">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80AF7A8" w14:textId="77777777" w:rsidR="000A2CD0" w:rsidRDefault="000A2CD0">
            <w:pPr>
              <w:pStyle w:val="TAL"/>
              <w:rPr>
                <w:b/>
                <w:i/>
                <w:lang w:eastAsia="zh-CN"/>
              </w:rPr>
            </w:pPr>
            <w:r>
              <w:rPr>
                <w:b/>
                <w:i/>
                <w:lang w:eastAsia="en-GB"/>
              </w:rPr>
              <w:t>ncsg</w:t>
            </w:r>
          </w:p>
          <w:p w14:paraId="77CBA59F" w14:textId="77777777" w:rsidR="000A2CD0" w:rsidRDefault="000A2CD0">
            <w:pPr>
              <w:pStyle w:val="TAL"/>
              <w:rPr>
                <w:b/>
                <w:bCs/>
                <w:i/>
                <w:noProof/>
                <w:lang w:eastAsia="en-GB"/>
              </w:rPr>
            </w:pPr>
            <w:r>
              <w:rPr>
                <w:lang w:eastAsia="en-GB"/>
              </w:rPr>
              <w:t>Indicates whether the UE supports measurement NCSG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5A9DAA70" w14:textId="77777777" w:rsidR="000A2CD0" w:rsidRDefault="000A2CD0">
            <w:pPr>
              <w:pStyle w:val="TAL"/>
              <w:jc w:val="center"/>
              <w:rPr>
                <w:bCs/>
                <w:noProof/>
                <w:lang w:eastAsia="en-GB"/>
              </w:rPr>
            </w:pPr>
            <w:r>
              <w:rPr>
                <w:bCs/>
                <w:noProof/>
                <w:lang w:eastAsia="en-GB"/>
              </w:rPr>
              <w:t>No</w:t>
            </w:r>
          </w:p>
        </w:tc>
      </w:tr>
    </w:tbl>
    <w:p w14:paraId="552C2A5D" w14:textId="400C0062" w:rsidR="000A2CD0" w:rsidRDefault="000A2CD0" w:rsidP="000027A1">
      <w:pPr>
        <w:rPr>
          <w:lang w:val="en-US"/>
        </w:rPr>
      </w:pPr>
    </w:p>
    <w:p w14:paraId="5E5CAF47" w14:textId="77777777" w:rsidR="008063D8" w:rsidRDefault="000A2CD0" w:rsidP="000027A1">
      <w:pPr>
        <w:rPr>
          <w:lang w:val="en-US"/>
        </w:rPr>
      </w:pPr>
      <w:r>
        <w:rPr>
          <w:lang w:val="en-US"/>
        </w:rPr>
        <w:t>So in RRC specification only reference to 36.133 is made  there is no need to explicitly capture non-CA applicability to RRC specification</w:t>
      </w:r>
      <w:r w:rsidR="008063D8">
        <w:rPr>
          <w:lang w:val="en-US"/>
        </w:rPr>
        <w:t>. It should be noted that UE capability:</w:t>
      </w: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13"/>
        <w:gridCol w:w="917"/>
      </w:tblGrid>
      <w:tr w:rsidR="008063D8" w14:paraId="1A2AA676" w14:textId="77777777" w:rsidTr="008063D8">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5EC94C3" w14:textId="77777777" w:rsidR="008063D8" w:rsidRDefault="008063D8">
            <w:pPr>
              <w:pStyle w:val="TAL"/>
              <w:rPr>
                <w:b/>
                <w:i/>
                <w:lang w:eastAsia="zh-CN"/>
              </w:rPr>
            </w:pPr>
            <w:r>
              <w:rPr>
                <w:b/>
                <w:i/>
                <w:lang w:eastAsia="en-GB"/>
              </w:rPr>
              <w:lastRenderedPageBreak/>
              <w:t>benefitsFromInterruption</w:t>
            </w:r>
          </w:p>
          <w:p w14:paraId="5013D089" w14:textId="77777777" w:rsidR="008063D8" w:rsidRDefault="008063D8">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2333ED7D" w14:textId="77777777" w:rsidR="008063D8" w:rsidRDefault="008063D8">
            <w:pPr>
              <w:pStyle w:val="TAL"/>
              <w:jc w:val="center"/>
              <w:rPr>
                <w:bCs/>
                <w:noProof/>
                <w:lang w:eastAsia="en-GB"/>
              </w:rPr>
            </w:pPr>
            <w:r>
              <w:rPr>
                <w:bCs/>
                <w:noProof/>
                <w:lang w:eastAsia="en-GB"/>
              </w:rPr>
              <w:t>No</w:t>
            </w:r>
          </w:p>
        </w:tc>
      </w:tr>
    </w:tbl>
    <w:p w14:paraId="27778E8A" w14:textId="3E678BD4" w:rsidR="000A2CD0" w:rsidRDefault="008063D8" w:rsidP="000027A1">
      <w:pPr>
        <w:rPr>
          <w:lang w:val="en-US"/>
        </w:rPr>
      </w:pPr>
      <w:r>
        <w:rPr>
          <w:lang w:val="en-US"/>
        </w:rPr>
        <w:t>Type of limitation for NCSG applicability is assumed for NCSG as well. It would be good to also check whether similar limitation needs to be captured in RRC specification or if this limitation is sufficiently clearly captured in the 36.133.</w:t>
      </w:r>
      <w:r w:rsidR="000A2CD0">
        <w:rPr>
          <w:lang w:val="en-US"/>
        </w:rPr>
        <w:t xml:space="preserve"> </w:t>
      </w:r>
    </w:p>
    <w:p w14:paraId="17F98FC3" w14:textId="1C2CBDA2" w:rsidR="000A2CD0" w:rsidRDefault="000A2CD0" w:rsidP="000027A1">
      <w:pPr>
        <w:rPr>
          <w:lang w:val="en-US"/>
        </w:rPr>
      </w:pPr>
      <w:r>
        <w:rPr>
          <w:b/>
          <w:lang w:val="en-US"/>
        </w:rPr>
        <w:t xml:space="preserve">Proposal: </w:t>
      </w:r>
      <w:r>
        <w:rPr>
          <w:lang w:val="en-US"/>
        </w:rPr>
        <w:t xml:space="preserve">Allow utilizing NCSG for the cases when there are no measurements configured for UE which are not part of supported band combinations or any measurements which are not part of supported band combinations do not require measurement gaps. </w:t>
      </w:r>
    </w:p>
    <w:p w14:paraId="43A12B72" w14:textId="2EA1A1DE" w:rsidR="00CD4C7B" w:rsidRPr="006E13D1" w:rsidRDefault="000027A1" w:rsidP="00CD4C7B">
      <w:pPr>
        <w:pStyle w:val="Heading1"/>
      </w:pPr>
      <w:bookmarkStart w:id="1" w:name="_GoBack"/>
      <w:bookmarkEnd w:id="1"/>
      <w:r>
        <w:t>3</w:t>
      </w:r>
      <w:r>
        <w:tab/>
        <w:t>Conclusion</w:t>
      </w:r>
    </w:p>
    <w:p w14:paraId="7AC59A78" w14:textId="77777777" w:rsidR="00C97789" w:rsidRDefault="00C97789" w:rsidP="00CD4C7B">
      <w:r>
        <w:t>In this paper we discussed NCSG applicability to non-CA. Although this should be discussed in RAN4 we came to conclusion that from RAN2 point of view this case can be supported without any impacts (just reference to 36.101/133).</w:t>
      </w:r>
    </w:p>
    <w:p w14:paraId="08FA4BF1" w14:textId="77777777" w:rsidR="00C97789" w:rsidRDefault="00C97789" w:rsidP="00C97789">
      <w:pPr>
        <w:rPr>
          <w:lang w:val="en-US"/>
        </w:rPr>
      </w:pPr>
      <w:r>
        <w:rPr>
          <w:b/>
          <w:lang w:val="en-US"/>
        </w:rPr>
        <w:t xml:space="preserve">Proposal: </w:t>
      </w:r>
      <w:r>
        <w:rPr>
          <w:lang w:val="en-US"/>
        </w:rPr>
        <w:t xml:space="preserve">Allow utilizing NCSG for the cases when there are no measurements configured for UE which are not part of supported band combinations or any measurements which are not part of supported band combinations do not require measurement gaps. </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2" w:name="_Ref75086397"/>
      <w:r>
        <w:t>3GPP TS 21.801</w:t>
      </w:r>
      <w:r w:rsidR="00CD4C7B" w:rsidRPr="006E13D1">
        <w:t xml:space="preserve"> </w:t>
      </w:r>
      <w:r w:rsidR="00CD4C7B" w:rsidRPr="006E13D1">
        <w:rPr>
          <w:i/>
          <w:iCs/>
        </w:rPr>
        <w:t>Drafting Rules</w:t>
      </w: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16049" w14:textId="77777777" w:rsidR="006A6A3A" w:rsidRDefault="006A6A3A">
      <w:r>
        <w:separator/>
      </w:r>
    </w:p>
  </w:endnote>
  <w:endnote w:type="continuationSeparator" w:id="0">
    <w:p w14:paraId="273C21F4" w14:textId="77777777" w:rsidR="006A6A3A" w:rsidRDefault="006A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00A37" w14:textId="77777777" w:rsidR="006A6A3A" w:rsidRDefault="006A6A3A">
      <w:r>
        <w:separator/>
      </w:r>
    </w:p>
  </w:footnote>
  <w:footnote w:type="continuationSeparator" w:id="0">
    <w:p w14:paraId="7F9D00B7" w14:textId="77777777" w:rsidR="006A6A3A" w:rsidRDefault="006A6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4F1603"/>
    <w:multiLevelType w:val="hybridMultilevel"/>
    <w:tmpl w:val="7DCC88EC"/>
    <w:lvl w:ilvl="0" w:tplc="0F688A8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E32866"/>
    <w:multiLevelType w:val="hybridMultilevel"/>
    <w:tmpl w:val="2FCE5D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A1"/>
    <w:rsid w:val="00033397"/>
    <w:rsid w:val="00040095"/>
    <w:rsid w:val="00080512"/>
    <w:rsid w:val="00090468"/>
    <w:rsid w:val="000A2CD0"/>
    <w:rsid w:val="000B7BCF"/>
    <w:rsid w:val="000C522B"/>
    <w:rsid w:val="000D58AB"/>
    <w:rsid w:val="001350B8"/>
    <w:rsid w:val="00145075"/>
    <w:rsid w:val="001741A0"/>
    <w:rsid w:val="00194CD0"/>
    <w:rsid w:val="001B49C9"/>
    <w:rsid w:val="001E0F3E"/>
    <w:rsid w:val="001F168B"/>
    <w:rsid w:val="001F7831"/>
    <w:rsid w:val="00204045"/>
    <w:rsid w:val="0022606D"/>
    <w:rsid w:val="002747EC"/>
    <w:rsid w:val="002855BF"/>
    <w:rsid w:val="002934B0"/>
    <w:rsid w:val="002F0D22"/>
    <w:rsid w:val="003172DC"/>
    <w:rsid w:val="00326069"/>
    <w:rsid w:val="0035462D"/>
    <w:rsid w:val="003B40AD"/>
    <w:rsid w:val="003C4E37"/>
    <w:rsid w:val="003E16BE"/>
    <w:rsid w:val="00401855"/>
    <w:rsid w:val="00477455"/>
    <w:rsid w:val="004D3578"/>
    <w:rsid w:val="004D380D"/>
    <w:rsid w:val="004E213A"/>
    <w:rsid w:val="00503171"/>
    <w:rsid w:val="00506C28"/>
    <w:rsid w:val="00534DA0"/>
    <w:rsid w:val="00542542"/>
    <w:rsid w:val="00543E6C"/>
    <w:rsid w:val="00565087"/>
    <w:rsid w:val="0056573F"/>
    <w:rsid w:val="00611566"/>
    <w:rsid w:val="00646D99"/>
    <w:rsid w:val="00656910"/>
    <w:rsid w:val="006A6A3A"/>
    <w:rsid w:val="006C66D8"/>
    <w:rsid w:val="006D1E24"/>
    <w:rsid w:val="006E1417"/>
    <w:rsid w:val="006F6A2C"/>
    <w:rsid w:val="00710201"/>
    <w:rsid w:val="00734A5B"/>
    <w:rsid w:val="00744E76"/>
    <w:rsid w:val="00757D40"/>
    <w:rsid w:val="00781F0F"/>
    <w:rsid w:val="00786E00"/>
    <w:rsid w:val="0078727C"/>
    <w:rsid w:val="0079049D"/>
    <w:rsid w:val="007B18D8"/>
    <w:rsid w:val="007C095F"/>
    <w:rsid w:val="008028A4"/>
    <w:rsid w:val="008063D8"/>
    <w:rsid w:val="00813245"/>
    <w:rsid w:val="008768CA"/>
    <w:rsid w:val="00877EF9"/>
    <w:rsid w:val="00880559"/>
    <w:rsid w:val="008B5306"/>
    <w:rsid w:val="008F6A4D"/>
    <w:rsid w:val="0090271F"/>
    <w:rsid w:val="00902DB9"/>
    <w:rsid w:val="0090466A"/>
    <w:rsid w:val="00936071"/>
    <w:rsid w:val="00940212"/>
    <w:rsid w:val="00942EC2"/>
    <w:rsid w:val="009436E9"/>
    <w:rsid w:val="00961B32"/>
    <w:rsid w:val="00970DB3"/>
    <w:rsid w:val="00974BB0"/>
    <w:rsid w:val="009778F2"/>
    <w:rsid w:val="009A0AF3"/>
    <w:rsid w:val="009B07CD"/>
    <w:rsid w:val="009C19E9"/>
    <w:rsid w:val="00A10F02"/>
    <w:rsid w:val="00A204CA"/>
    <w:rsid w:val="00A53724"/>
    <w:rsid w:val="00A82346"/>
    <w:rsid w:val="00A82B96"/>
    <w:rsid w:val="00A9671C"/>
    <w:rsid w:val="00AA1553"/>
    <w:rsid w:val="00AF7E25"/>
    <w:rsid w:val="00B15449"/>
    <w:rsid w:val="00B47FD1"/>
    <w:rsid w:val="00B516BB"/>
    <w:rsid w:val="00C02760"/>
    <w:rsid w:val="00C12B51"/>
    <w:rsid w:val="00C24650"/>
    <w:rsid w:val="00C33079"/>
    <w:rsid w:val="00C83A13"/>
    <w:rsid w:val="00C9068C"/>
    <w:rsid w:val="00C92967"/>
    <w:rsid w:val="00C97789"/>
    <w:rsid w:val="00CA3D0C"/>
    <w:rsid w:val="00CA654B"/>
    <w:rsid w:val="00CD4C7B"/>
    <w:rsid w:val="00CF0C74"/>
    <w:rsid w:val="00D738D6"/>
    <w:rsid w:val="00D80795"/>
    <w:rsid w:val="00D87E00"/>
    <w:rsid w:val="00D9134D"/>
    <w:rsid w:val="00D96D11"/>
    <w:rsid w:val="00DA7A03"/>
    <w:rsid w:val="00DB1818"/>
    <w:rsid w:val="00DC309B"/>
    <w:rsid w:val="00DC4DA2"/>
    <w:rsid w:val="00E56904"/>
    <w:rsid w:val="00E62835"/>
    <w:rsid w:val="00E77645"/>
    <w:rsid w:val="00E83697"/>
    <w:rsid w:val="00EC4A25"/>
    <w:rsid w:val="00F00BC7"/>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E56904"/>
    <w:pPr>
      <w:ind w:left="720"/>
      <w:contextualSpacing/>
    </w:pPr>
  </w:style>
  <w:style w:type="character" w:styleId="CommentReference">
    <w:name w:val="annotation reference"/>
    <w:basedOn w:val="DefaultParagraphFont"/>
    <w:rsid w:val="009436E9"/>
    <w:rPr>
      <w:sz w:val="16"/>
      <w:szCs w:val="16"/>
    </w:rPr>
  </w:style>
  <w:style w:type="paragraph" w:styleId="CommentText">
    <w:name w:val="annotation text"/>
    <w:basedOn w:val="Normal"/>
    <w:link w:val="CommentTextChar"/>
    <w:rsid w:val="009436E9"/>
  </w:style>
  <w:style w:type="character" w:customStyle="1" w:styleId="CommentTextChar">
    <w:name w:val="Comment Text Char"/>
    <w:basedOn w:val="DefaultParagraphFont"/>
    <w:link w:val="CommentText"/>
    <w:rsid w:val="009436E9"/>
    <w:rPr>
      <w:lang w:eastAsia="en-US"/>
    </w:rPr>
  </w:style>
  <w:style w:type="paragraph" w:styleId="CommentSubject">
    <w:name w:val="annotation subject"/>
    <w:basedOn w:val="CommentText"/>
    <w:next w:val="CommentText"/>
    <w:link w:val="CommentSubjectChar"/>
    <w:rsid w:val="009436E9"/>
    <w:rPr>
      <w:b/>
      <w:bCs/>
    </w:rPr>
  </w:style>
  <w:style w:type="character" w:customStyle="1" w:styleId="CommentSubjectChar">
    <w:name w:val="Comment Subject Char"/>
    <w:basedOn w:val="CommentTextChar"/>
    <w:link w:val="CommentSubject"/>
    <w:rsid w:val="009436E9"/>
    <w:rPr>
      <w:b/>
      <w:bCs/>
      <w:lang w:eastAsia="en-US"/>
    </w:rPr>
  </w:style>
  <w:style w:type="paragraph" w:styleId="BalloonText">
    <w:name w:val="Balloon Text"/>
    <w:basedOn w:val="Normal"/>
    <w:link w:val="BalloonTextChar"/>
    <w:rsid w:val="009436E9"/>
    <w:pPr>
      <w:spacing w:after="0"/>
    </w:pPr>
    <w:rPr>
      <w:rFonts w:ascii="Segoe UI" w:hAnsi="Segoe UI" w:cs="Segoe UI"/>
      <w:sz w:val="18"/>
      <w:szCs w:val="18"/>
    </w:rPr>
  </w:style>
  <w:style w:type="character" w:customStyle="1" w:styleId="BalloonTextChar">
    <w:name w:val="Balloon Text Char"/>
    <w:basedOn w:val="DefaultParagraphFont"/>
    <w:link w:val="BalloonText"/>
    <w:rsid w:val="009436E9"/>
    <w:rPr>
      <w:rFonts w:ascii="Segoe UI" w:hAnsi="Segoe UI" w:cs="Segoe UI"/>
      <w:sz w:val="18"/>
      <w:szCs w:val="18"/>
      <w:lang w:eastAsia="en-US"/>
    </w:rPr>
  </w:style>
  <w:style w:type="character" w:customStyle="1" w:styleId="TALCar">
    <w:name w:val="TAL Car"/>
    <w:link w:val="TAL"/>
    <w:locked/>
    <w:rsid w:val="000A2C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363916">
      <w:bodyDiv w:val="1"/>
      <w:marLeft w:val="0"/>
      <w:marRight w:val="0"/>
      <w:marTop w:val="0"/>
      <w:marBottom w:val="0"/>
      <w:divBdr>
        <w:top w:val="none" w:sz="0" w:space="0" w:color="auto"/>
        <w:left w:val="none" w:sz="0" w:space="0" w:color="auto"/>
        <w:bottom w:val="none" w:sz="0" w:space="0" w:color="auto"/>
        <w:right w:val="none" w:sz="0" w:space="0" w:color="auto"/>
      </w:divBdr>
    </w:div>
    <w:div w:id="2002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SP-5AIRPNAIUNRU-859666464-220</_dlc_DocId>
    <_dlc_DocIdUrl xmlns="71c5aaf6-e6ce-465b-b873-5148d2a4c105">
      <Url>https://nokia.sharepoint.com/sites/c5g/e2earch/_layouts/15/DocIdRedir.aspx?ID=SP-5AIRPNAIUNRU-859666464-220</Url>
      <Description>SP-5AIRPNAIUNRU-859666464-220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35CE1D-B3D6-477B-BEB4-E82975FEAB2B}">
  <ds:schemaRefs>
    <ds:schemaRef ds:uri="http://schemas.microsoft.com/sharepoint/events"/>
  </ds:schemaRefs>
</ds:datastoreItem>
</file>

<file path=customXml/itemProps2.xml><?xml version="1.0" encoding="utf-8"?>
<ds:datastoreItem xmlns:ds="http://schemas.openxmlformats.org/officeDocument/2006/customXml" ds:itemID="{F8462256-9C18-4D7A-BA44-B1A60B66C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9B32D8-A083-493E-BFBF-9BEBF7A0E1F8}">
  <ds:schemaRefs>
    <ds:schemaRef ds:uri="http://purl.org/dc/terms/"/>
    <ds:schemaRef ds:uri="http://purl.org/dc/elements/1.1/"/>
    <ds:schemaRef ds:uri="71c5aaf6-e6ce-465b-b873-5148d2a4c105"/>
    <ds:schemaRef ds:uri="http://schemas.microsoft.com/office/2006/metadata/properties"/>
    <ds:schemaRef ds:uri="3b34c8f0-1ef5-4d1e-bb66-517ce7fe7356"/>
    <ds:schemaRef ds:uri="a3840f4f-04be-43d1-b2ef-6ff1382503c7"/>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94D6C26-CD3F-4673-929F-1F45E77190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400</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Jarkko T. (Nokia - FI/Oulu)</dc:creator>
  <cp:lastModifiedBy>Nokia</cp:lastModifiedBy>
  <cp:revision>2</cp:revision>
  <dcterms:created xsi:type="dcterms:W3CDTF">2017-05-04T09:52:00Z</dcterms:created>
  <dcterms:modified xsi:type="dcterms:W3CDTF">2017-05-04T09:52:00Z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058ce2f5-b789-4ef3-a5d5-9f5b2330c0ea</vt:lpwstr>
  </property>
</Properties>
</file>